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7FF" w:rsidRPr="00C06809" w:rsidRDefault="00F76177" w:rsidP="001755AB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C06809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F837FF" w:rsidRPr="00C0680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F837FF" w:rsidRPr="00C06809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1755AB" w:rsidRPr="00C06809" w:rsidRDefault="001755AB" w:rsidP="001755AB">
      <w:pPr>
        <w:bidi/>
        <w:jc w:val="both"/>
        <w:rPr>
          <w:rFonts w:ascii="IRBadr" w:hAnsi="IRBadr" w:cs="IRBadr"/>
          <w:noProof/>
        </w:rPr>
      </w:pPr>
      <w:r w:rsidRPr="00C06809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C06809">
        <w:rPr>
          <w:rFonts w:ascii="IRBadr" w:hAnsi="IRBadr" w:cs="IRBadr"/>
          <w:b/>
          <w:bCs/>
          <w:sz w:val="28"/>
          <w:szCs w:val="28"/>
          <w:lang w:bidi="fa-IR"/>
        </w:rPr>
        <w:fldChar w:fldCharType="begin"/>
      </w:r>
      <w:r w:rsidRPr="00C06809">
        <w:rPr>
          <w:rFonts w:ascii="IRBadr" w:hAnsi="IRBadr" w:cs="IRBadr"/>
          <w:b/>
          <w:bCs/>
          <w:sz w:val="28"/>
          <w:szCs w:val="28"/>
          <w:lang w:bidi="fa-IR"/>
        </w:rPr>
        <w:instrText xml:space="preserve"> TOC \o "1-4" \h \z \u </w:instrText>
      </w:r>
      <w:r w:rsidRPr="00C06809">
        <w:rPr>
          <w:rFonts w:ascii="IRBadr" w:hAnsi="IRBadr" w:cs="IRBadr"/>
          <w:b/>
          <w:bCs/>
          <w:sz w:val="28"/>
          <w:szCs w:val="28"/>
          <w:lang w:bidi="fa-IR"/>
        </w:rPr>
        <w:fldChar w:fldCharType="separate"/>
      </w:r>
    </w:p>
    <w:p w:rsidR="001755AB" w:rsidRPr="00C06809" w:rsidRDefault="008E3662" w:rsidP="001755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58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نوع تعزیر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_Toc427624658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2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59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تحدید اقل و اکثر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_Toc427624659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2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0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روایات در این باب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_Toc427624660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2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1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روایات گروه دوم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_Toc427624661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3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2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تعارض اولیه روایات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_Toc427624662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3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3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طرق جمع در این مقام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_Toc427624663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4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4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_Toc427624664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4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5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جمع دوم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_Toc427624665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4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6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_Toc427624666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4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7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جمع سوم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_Toc427624667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5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8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جمع‌بندی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_Toc427624668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5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69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_Toc427624669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5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8E3662" w:rsidP="001755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24670" w:history="1">
        <w:r w:rsidR="001755AB" w:rsidRPr="00C06809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1755AB" w:rsidRPr="00C06809">
          <w:rPr>
            <w:rFonts w:ascii="IRBadr" w:hAnsi="IRBadr" w:cs="IRBadr"/>
            <w:noProof/>
            <w:webHidden/>
          </w:rPr>
          <w:tab/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755AB" w:rsidRPr="00C06809">
          <w:rPr>
            <w:rFonts w:ascii="IRBadr" w:hAnsi="IRBadr" w:cs="IRBadr"/>
            <w:noProof/>
            <w:webHidden/>
          </w:rPr>
          <w:instrText xml:space="preserve"> PAGEREF _Toc427624670 \h </w:instrText>
        </w:r>
        <w:r w:rsidR="001755AB" w:rsidRPr="00C06809">
          <w:rPr>
            <w:rStyle w:val="Hyperlink"/>
            <w:rFonts w:ascii="IRBadr" w:hAnsi="IRBadr" w:cs="IRBadr"/>
            <w:noProof/>
            <w:rtl/>
          </w:rPr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755AB" w:rsidRPr="00C06809">
          <w:rPr>
            <w:rFonts w:ascii="IRBadr" w:hAnsi="IRBadr" w:cs="IRBadr"/>
            <w:noProof/>
            <w:webHidden/>
          </w:rPr>
          <w:t>5</w:t>
        </w:r>
        <w:r w:rsidR="001755AB" w:rsidRPr="00C0680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755AB" w:rsidRPr="00C06809" w:rsidRDefault="001755AB" w:rsidP="001755AB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C06809">
        <w:rPr>
          <w:rFonts w:ascii="IRBadr" w:hAnsi="IRBadr" w:cs="IRBadr"/>
          <w:b/>
          <w:bCs/>
          <w:sz w:val="28"/>
          <w:szCs w:val="28"/>
          <w:lang w:bidi="fa-IR"/>
        </w:rPr>
        <w:fldChar w:fldCharType="end"/>
      </w:r>
    </w:p>
    <w:p w:rsidR="00C06809" w:rsidRDefault="00C06809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624658"/>
      <w:r>
        <w:rPr>
          <w:rFonts w:ascii="IRBadr" w:hAnsi="IRBadr" w:cs="IRBadr"/>
          <w:rtl/>
        </w:rPr>
        <w:br w:type="page"/>
      </w:r>
    </w:p>
    <w:p w:rsidR="00F837FF" w:rsidRPr="00C06809" w:rsidRDefault="00D95014" w:rsidP="001755AB">
      <w:pPr>
        <w:pStyle w:val="Heading1"/>
        <w:rPr>
          <w:rFonts w:ascii="IRBadr" w:hAnsi="IRBadr" w:cs="IRBadr"/>
          <w:rtl/>
        </w:rPr>
      </w:pPr>
      <w:r w:rsidRPr="00C06809">
        <w:rPr>
          <w:rFonts w:ascii="IRBadr" w:hAnsi="IRBadr" w:cs="IRBadr"/>
          <w:rtl/>
        </w:rPr>
        <w:lastRenderedPageBreak/>
        <w:t>نوع تعزیر</w:t>
      </w:r>
      <w:bookmarkEnd w:id="1"/>
    </w:p>
    <w:p w:rsidR="00D95014" w:rsidRPr="00C06809" w:rsidRDefault="00D95014" w:rsidP="001755AB">
      <w:pPr>
        <w:pStyle w:val="Heading1"/>
        <w:rPr>
          <w:rFonts w:ascii="IRBadr" w:hAnsi="IRBadr" w:cs="IRBadr"/>
          <w:rtl/>
        </w:rPr>
      </w:pPr>
      <w:bookmarkStart w:id="2" w:name="_Toc427624659"/>
      <w:r w:rsidRPr="00C06809">
        <w:rPr>
          <w:rFonts w:ascii="IRBadr" w:hAnsi="IRBadr" w:cs="IRBadr"/>
          <w:rtl/>
        </w:rPr>
        <w:t>تحدید اقل و اکثر</w:t>
      </w:r>
      <w:bookmarkEnd w:id="2"/>
    </w:p>
    <w:p w:rsidR="00D95014" w:rsidRPr="00C06809" w:rsidRDefault="00D95014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در بحث گذشته بیان شد که آیا میزان تعزیر از ناحیه اقل و اکثر بید الحاکم است یا در این رابطه در روایات این حدود یا یکی از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مشخص‌شده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است؟</w:t>
      </w:r>
    </w:p>
    <w:p w:rsidR="00FF1886" w:rsidRPr="00C06809" w:rsidRDefault="00D95014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به یاد نداریم در ناحیه اقل توسط فقها حدی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اما از ناحیه اکثر گرچه یک قول عامه است که محدد نیست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،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در فقه خاصه و فتاوای ما محدد است. منتها در میزان این تحدید و کیفیت تحدید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اقوال متعددی وجود دارد. 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گفتیم برای اینکه مشخص بشود که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کدام‌یک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از این اقوال را می‌شود پذیرفت، باید ببینیم روایات در مسئله چه مضمونی را افاده می‌کند.</w:t>
      </w:r>
    </w:p>
    <w:p w:rsidR="00FF1886" w:rsidRPr="00C06809" w:rsidRDefault="00FF1886" w:rsidP="001755AB">
      <w:pPr>
        <w:pStyle w:val="Heading1"/>
        <w:rPr>
          <w:rFonts w:ascii="IRBadr" w:hAnsi="IRBadr" w:cs="IRBadr"/>
          <w:rtl/>
        </w:rPr>
      </w:pPr>
      <w:bookmarkStart w:id="3" w:name="_Toc427624660"/>
      <w:r w:rsidRPr="00C06809">
        <w:rPr>
          <w:rFonts w:ascii="IRBadr" w:hAnsi="IRBadr" w:cs="IRBadr"/>
          <w:rtl/>
        </w:rPr>
        <w:t>روایات در این باب</w:t>
      </w:r>
      <w:bookmarkEnd w:id="3"/>
    </w:p>
    <w:p w:rsidR="00FF1886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روایات از یک نگاه کلی به دو گروه اصلی تقسیم می‌کنیم. یک گروه روایاتی است که 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 xml:space="preserve">به نحو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مطلق اصل حدود را مشخص کرده است. و یک گروه 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>از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روایات 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>که بیشتر جنبه موردی دارد،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در مواردی مقداری را از ناحیه اکثر تعیین کرده است. در گروه اول که روایاتی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قاعده کلی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حدی را برای تعزیر مشخص کرده است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F1886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روایات 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 xml:space="preserve">در این باب به چند دسته تقسیم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>؛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 xml:space="preserve"> قسمت اول روایاتی بود که ملاک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رابین</w:t>
      </w:r>
      <w:r w:rsidR="00FF1886" w:rsidRPr="00C06809">
        <w:rPr>
          <w:rFonts w:ascii="IRBadr" w:hAnsi="IRBadr" w:cs="IRBadr"/>
          <w:sz w:val="28"/>
          <w:szCs w:val="28"/>
          <w:rtl/>
          <w:lang w:bidi="fa-IR"/>
        </w:rPr>
        <w:t xml:space="preserve"> ده تا بیست قرار داده بود.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دسته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دوم روی عدد چهل تأکید داشت.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گروه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سوم مشتمل بر روایاتی است که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حداکثر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را در این باب تعیین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>.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بیشتر جنبه موردی داشته و در طول آن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کلی ارائه نشده است.</w:t>
      </w:r>
    </w:p>
    <w:p w:rsidR="00554A97" w:rsidRPr="00C06809" w:rsidRDefault="00554A97" w:rsidP="001755AB">
      <w:pPr>
        <w:pStyle w:val="Heading1"/>
        <w:rPr>
          <w:rFonts w:ascii="IRBadr" w:hAnsi="IRBadr" w:cs="IRBadr"/>
          <w:rtl/>
        </w:rPr>
      </w:pPr>
      <w:bookmarkStart w:id="4" w:name="_Toc427624661"/>
      <w:r w:rsidRPr="00C06809">
        <w:rPr>
          <w:rFonts w:ascii="IRBadr" w:hAnsi="IRBadr" w:cs="IRBadr"/>
          <w:rtl/>
        </w:rPr>
        <w:t>روایات گروه دوم</w:t>
      </w:r>
      <w:bookmarkEnd w:id="4"/>
    </w:p>
    <w:p w:rsidR="00554A97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یک نوع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روایات در گروه دوم، روایاتی است که در جلد هیجده، ابواب حد زنا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، باب دهم، صفحه سیصد و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شصت‌وسه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873E0E" w:rsidRPr="00C06809" w:rsidRDefault="00873E0E" w:rsidP="001755AB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«حَدَّثَنِ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وَ مُحَمَّدُ بْنُ 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مُحَمَّدِ بْنِ عِ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جَمِ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عاً عَنِ ابْنِ أَبِ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حَمَّادٍ عَنِ الْحَلَبِ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حَدُّ الْجَلْدِ أَنْ 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وجَدَا فِ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لِحَافٍ وَاحِدٍ فَالرَّجُلَانِ 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جْلَدَانِ إِذَا أُخِذَا فِ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لِحَافٍ وَاحِدٍ الْحَدَّ وَ الْمَرْأَتَانِ تُجْلَدَانِ إِذَا أُخِذَتَا فِ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لِحَافٍ وَاحِدٍ الْحَدَّ.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C06809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554A97" w:rsidRPr="00C06809" w:rsidRDefault="00554A97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از امام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سؤال کردند که حد یعنی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صد ضربه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؟ حضرت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آخر فرمودند تا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نودونه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ضربه تعزیر آن مرد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54A97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در روایت سوم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بازآمده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873E0E" w:rsidRPr="00C06809" w:rsidRDefault="00873E0E" w:rsidP="001755AB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مُحَمَّدِ بْنِ عِ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إِسْمَاعِ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بْنِ بَزِ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عٍ عَنْ مُحَمَّدِ بْنِ الْفُضَ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لِ عَنْ أَبِ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الصَّبَّاحِ الْ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نَانِ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الرَّجُلِ وَ الْمَرْأَةِ 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وجَدَانِ فِ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لِحَافٍ وَاحِدٍ جُلِدَا مِائَةً مِائَةً.</w:t>
      </w:r>
      <w:r w:rsidR="00F76177" w:rsidRPr="00C0680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C06809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554A97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در روایتی صد 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>ضربه شلاق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دارد و با توجه به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کنایه‌ای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که در روایت فرموده شده است مراد همان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نودونه</w:t>
      </w:r>
      <w:r w:rsidR="00554A97" w:rsidRPr="00C06809">
        <w:rPr>
          <w:rFonts w:ascii="IRBadr" w:hAnsi="IRBadr" w:cs="IRBadr"/>
          <w:sz w:val="28"/>
          <w:szCs w:val="28"/>
          <w:rtl/>
          <w:lang w:bidi="fa-IR"/>
        </w:rPr>
        <w:t xml:space="preserve"> ضربه است.</w:t>
      </w:r>
    </w:p>
    <w:p w:rsidR="000F02FB" w:rsidRPr="00C06809" w:rsidRDefault="000F02FB" w:rsidP="001755AB">
      <w:pPr>
        <w:pStyle w:val="Heading2"/>
        <w:rPr>
          <w:rFonts w:ascii="IRBadr" w:hAnsi="IRBadr" w:cs="IRBadr"/>
          <w:rtl/>
        </w:rPr>
      </w:pPr>
      <w:bookmarkStart w:id="5" w:name="_Toc427624662"/>
      <w:r w:rsidRPr="00C06809">
        <w:rPr>
          <w:rFonts w:ascii="IRBadr" w:hAnsi="IRBadr" w:cs="IRBadr"/>
          <w:rtl/>
        </w:rPr>
        <w:t>تعارض اولیه روایات</w:t>
      </w:r>
      <w:bookmarkEnd w:id="5"/>
    </w:p>
    <w:p w:rsidR="000F02FB" w:rsidRPr="00C06809" w:rsidRDefault="00F76177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 xml:space="preserve"> که در طول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دسته‌های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 xml:space="preserve"> روایی مشاهده شد،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 xml:space="preserve"> میان روایات این باب تعارض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اولیه‌ای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 xml:space="preserve"> وجود دارد که باید راه جمعی برای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 xml:space="preserve"> ارائه داد. در این میان فقها چندین جمع مطرح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F02FB" w:rsidRPr="00C06809" w:rsidRDefault="000F02FB" w:rsidP="001755AB">
      <w:pPr>
        <w:pStyle w:val="Heading2"/>
        <w:rPr>
          <w:rFonts w:ascii="IRBadr" w:hAnsi="IRBadr" w:cs="IRBadr"/>
          <w:rtl/>
        </w:rPr>
      </w:pPr>
      <w:bookmarkStart w:id="6" w:name="_Toc427624663"/>
      <w:r w:rsidRPr="00C06809">
        <w:rPr>
          <w:rFonts w:ascii="IRBadr" w:hAnsi="IRBadr" w:cs="IRBadr"/>
          <w:rtl/>
        </w:rPr>
        <w:t>طرق جمع در این مقام</w:t>
      </w:r>
      <w:bookmarkEnd w:id="6"/>
    </w:p>
    <w:p w:rsidR="000F02FB" w:rsidRPr="00C06809" w:rsidRDefault="000F02FB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یک نوع از جمع که در کلمات فقها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است، این بوده که با ذکر شدن عدد چهل در روایات موارد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پایین‌تر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را باید حمل بر افضلیت کنیم و تعین را از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بگیریم.</w:t>
      </w:r>
    </w:p>
    <w:p w:rsidR="000C7C2A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یعنی افضل بر حاکم است که هر چه بتواند کمتر شلاق بزند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نوعی رفع تعین از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 xml:space="preserve"> مراتب مادون می‌شود به قرینه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بالاتر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است. این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م</w:t>
      </w:r>
      <w:r w:rsidR="000F02FB" w:rsidRPr="00C06809">
        <w:rPr>
          <w:rFonts w:ascii="IRBadr" w:hAnsi="IRBadr" w:cs="IRBadr"/>
          <w:sz w:val="28"/>
          <w:szCs w:val="28"/>
          <w:rtl/>
          <w:lang w:bidi="fa-IR"/>
        </w:rPr>
        <w:t>ثل این است که در تأدیب صبی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روایات مختلفی داریم.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تعابیر</w:t>
      </w:r>
      <w:r w:rsidR="000C7C2A" w:rsidRPr="00C06809">
        <w:rPr>
          <w:rFonts w:ascii="IRBadr" w:hAnsi="IRBadr" w:cs="IRBadr"/>
          <w:sz w:val="28"/>
          <w:szCs w:val="28"/>
          <w:rtl/>
          <w:lang w:bidi="fa-IR"/>
        </w:rPr>
        <w:t xml:space="preserve"> در آنجا متفاوت است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C7C2A" w:rsidRPr="00C06809">
        <w:rPr>
          <w:rFonts w:ascii="IRBadr" w:hAnsi="IRBadr" w:cs="IRBadr"/>
          <w:sz w:val="28"/>
          <w:szCs w:val="28"/>
          <w:rtl/>
          <w:lang w:bidi="fa-IR"/>
        </w:rPr>
        <w:t xml:space="preserve">جمع بین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0C7C2A" w:rsidRPr="00C06809">
        <w:rPr>
          <w:rFonts w:ascii="IRBadr" w:hAnsi="IRBadr" w:cs="IRBadr"/>
          <w:sz w:val="28"/>
          <w:szCs w:val="28"/>
          <w:rtl/>
          <w:lang w:bidi="fa-IR"/>
        </w:rPr>
        <w:t xml:space="preserve"> بدین نحو است که هرچه تأدیب کمتر باشد بهتر است.</w:t>
      </w:r>
    </w:p>
    <w:p w:rsidR="000C7C2A" w:rsidRPr="00C06809" w:rsidRDefault="000C7C2A" w:rsidP="001755AB">
      <w:pPr>
        <w:pStyle w:val="Heading2"/>
        <w:rPr>
          <w:rFonts w:ascii="IRBadr" w:hAnsi="IRBadr" w:cs="IRBadr"/>
          <w:rtl/>
        </w:rPr>
      </w:pPr>
      <w:bookmarkStart w:id="7" w:name="_Toc427624664"/>
      <w:r w:rsidRPr="00C06809">
        <w:rPr>
          <w:rFonts w:ascii="IRBadr" w:hAnsi="IRBadr" w:cs="IRBadr"/>
          <w:rtl/>
        </w:rPr>
        <w:lastRenderedPageBreak/>
        <w:t>اتخاذ مبنا</w:t>
      </w:r>
      <w:bookmarkEnd w:id="7"/>
    </w:p>
    <w:p w:rsidR="000C7C2A" w:rsidRPr="00C06809" w:rsidRDefault="00455CBC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بعید نیست جمع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،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جمعی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عرفی باشد.</w:t>
      </w:r>
    </w:p>
    <w:p w:rsidR="00455CBC" w:rsidRPr="00C06809" w:rsidRDefault="00455CBC" w:rsidP="001755AB">
      <w:pPr>
        <w:pStyle w:val="Heading2"/>
        <w:rPr>
          <w:rFonts w:ascii="IRBadr" w:hAnsi="IRBadr" w:cs="IRBadr"/>
          <w:rtl/>
        </w:rPr>
      </w:pPr>
      <w:bookmarkStart w:id="8" w:name="_Toc427624665"/>
      <w:r w:rsidRPr="00C06809">
        <w:rPr>
          <w:rFonts w:ascii="IRBadr" w:hAnsi="IRBadr" w:cs="IRBadr"/>
          <w:rtl/>
        </w:rPr>
        <w:t>جمع دوم</w:t>
      </w:r>
      <w:bookmarkEnd w:id="8"/>
    </w:p>
    <w:p w:rsidR="00455CBC" w:rsidRPr="00C06809" w:rsidRDefault="00455CBC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جمع دومی که ممکن است کسی قائل شود،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 که در روایات بین عبد و حر فرق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گذاشته‌شده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تعابیر در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متفاوت است.</w:t>
      </w:r>
    </w:p>
    <w:p w:rsidR="00455CBC" w:rsidRPr="00C06809" w:rsidRDefault="00455CBC" w:rsidP="001755AB">
      <w:pPr>
        <w:pStyle w:val="Heading2"/>
        <w:rPr>
          <w:rFonts w:ascii="IRBadr" w:hAnsi="IRBadr" w:cs="IRBadr"/>
          <w:rtl/>
        </w:rPr>
      </w:pPr>
      <w:bookmarkStart w:id="9" w:name="_Toc427624666"/>
      <w:r w:rsidRPr="00C06809">
        <w:rPr>
          <w:rFonts w:ascii="IRBadr" w:hAnsi="IRBadr" w:cs="IRBadr"/>
          <w:rtl/>
        </w:rPr>
        <w:t>اتخاذ مبنا</w:t>
      </w:r>
      <w:bookmarkEnd w:id="9"/>
    </w:p>
    <w:p w:rsidR="00455CBC" w:rsidRPr="00C06809" w:rsidRDefault="00455CBC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جمعی که در فوق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جمعی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تبرعی و غیر عرفی است.</w:t>
      </w:r>
    </w:p>
    <w:p w:rsidR="00455CBC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آقای خویی قائل به این است که مبنا </w:t>
      </w:r>
      <w:r w:rsidR="00455CBC" w:rsidRPr="00C06809">
        <w:rPr>
          <w:rFonts w:ascii="IRBadr" w:hAnsi="IRBadr" w:cs="IRBadr"/>
          <w:sz w:val="28"/>
          <w:szCs w:val="28"/>
          <w:rtl/>
          <w:lang w:bidi="fa-IR"/>
        </w:rPr>
        <w:t xml:space="preserve">عدد چهل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است، ظاهر کلام امام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رضوان‌الله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تعالی علیه</w:t>
      </w:r>
      <w:r w:rsidR="00455CBC" w:rsidRPr="00C06809">
        <w:rPr>
          <w:rFonts w:ascii="IRBadr" w:hAnsi="IRBadr" w:cs="IRBadr"/>
          <w:sz w:val="28"/>
          <w:szCs w:val="28"/>
          <w:rtl/>
          <w:lang w:bidi="fa-IR"/>
        </w:rPr>
        <w:t xml:space="preserve"> نیز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همین است.</w:t>
      </w:r>
    </w:p>
    <w:p w:rsidR="00455CBC" w:rsidRPr="00C06809" w:rsidRDefault="00455CBC" w:rsidP="001755AB">
      <w:pPr>
        <w:pStyle w:val="Heading2"/>
        <w:rPr>
          <w:rFonts w:ascii="IRBadr" w:hAnsi="IRBadr" w:cs="IRBadr"/>
          <w:rtl/>
        </w:rPr>
      </w:pPr>
      <w:bookmarkStart w:id="10" w:name="_Toc427624667"/>
      <w:r w:rsidRPr="00C06809">
        <w:rPr>
          <w:rFonts w:ascii="IRBadr" w:hAnsi="IRBadr" w:cs="IRBadr"/>
          <w:rtl/>
        </w:rPr>
        <w:t>جمع سوم</w:t>
      </w:r>
      <w:bookmarkEnd w:id="10"/>
    </w:p>
    <w:p w:rsidR="001E46B6" w:rsidRPr="00C06809" w:rsidRDefault="00F76177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راه‌حل</w:t>
      </w:r>
      <w:r w:rsidR="00455CBC" w:rsidRPr="00C06809">
        <w:rPr>
          <w:rFonts w:ascii="IRBadr" w:hAnsi="IRBadr" w:cs="IRBadr"/>
          <w:sz w:val="28"/>
          <w:szCs w:val="28"/>
          <w:rtl/>
          <w:lang w:bidi="fa-IR"/>
        </w:rPr>
        <w:t xml:space="preserve"> سومی که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="00455CBC" w:rsidRPr="00C0680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455CBC"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 که؛ روایات طایفه دوم نگاه موردی ندارد،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455CBC" w:rsidRPr="00C06809">
        <w:rPr>
          <w:rFonts w:ascii="IRBadr" w:hAnsi="IRBadr" w:cs="IRBadr"/>
          <w:sz w:val="28"/>
          <w:szCs w:val="28"/>
          <w:rtl/>
          <w:lang w:bidi="fa-IR"/>
        </w:rPr>
        <w:t xml:space="preserve"> به نحوی القای خصوصیت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455CBC" w:rsidRPr="00C06809">
        <w:rPr>
          <w:rFonts w:ascii="IRBadr" w:hAnsi="IRBadr" w:cs="IRBadr"/>
          <w:sz w:val="28"/>
          <w:szCs w:val="28"/>
          <w:rtl/>
          <w:lang w:bidi="fa-IR"/>
        </w:rPr>
        <w:t>،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اجازه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>که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تأدیب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 xml:space="preserve"> تا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نودونه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 xml:space="preserve"> ادامه پیدا کند.</w:t>
      </w:r>
    </w:p>
    <w:p w:rsidR="001E46B6" w:rsidRPr="00C06809" w:rsidRDefault="00F76177" w:rsidP="001755AB">
      <w:pPr>
        <w:pStyle w:val="Heading2"/>
        <w:rPr>
          <w:rFonts w:ascii="IRBadr" w:hAnsi="IRBadr" w:cs="IRBadr"/>
          <w:rtl/>
        </w:rPr>
      </w:pPr>
      <w:bookmarkStart w:id="11" w:name="_Toc427624668"/>
      <w:r w:rsidRPr="00C06809">
        <w:rPr>
          <w:rFonts w:ascii="IRBadr" w:hAnsi="IRBadr" w:cs="IRBadr"/>
          <w:rtl/>
        </w:rPr>
        <w:t>جمع‌بندی</w:t>
      </w:r>
      <w:bookmarkEnd w:id="11"/>
    </w:p>
    <w:p w:rsidR="00CE1E8D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پس در جمع بین مجموعه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روایات، چند نظریه وجود دارد. نظر اول این بود که ما 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 xml:space="preserve">در قبال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طایفه دوم همان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 xml:space="preserve"> حالت موردی خودش را حفظ می‌کنیم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و طایفه اول را به آن شکل جمع می‌کنیم 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مبنا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سی‌ونه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 xml:space="preserve"> تا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چهل </w:t>
      </w:r>
      <w:r w:rsidR="001E46B6" w:rsidRPr="00C06809">
        <w:rPr>
          <w:rFonts w:ascii="IRBadr" w:hAnsi="IRBadr" w:cs="IRBadr"/>
          <w:sz w:val="28"/>
          <w:szCs w:val="28"/>
          <w:rtl/>
          <w:lang w:bidi="fa-IR"/>
        </w:rPr>
        <w:t>می‌شود.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E1E8D" w:rsidRPr="00C06809">
        <w:rPr>
          <w:rFonts w:ascii="IRBadr" w:hAnsi="IRBadr" w:cs="IRBadr"/>
          <w:sz w:val="28"/>
          <w:szCs w:val="28"/>
          <w:rtl/>
          <w:lang w:bidi="fa-IR"/>
        </w:rPr>
        <w:t>نظریه اول در جمع این روایات است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که نظریه آقای خویی و ظاهر کلام</w:t>
      </w:r>
      <w:r w:rsidR="00CE1E8D"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E1E8D" w:rsidRPr="00C06809">
        <w:rPr>
          <w:rFonts w:ascii="IRBadr" w:hAnsi="IRBadr" w:cs="IRBadr"/>
          <w:sz w:val="28"/>
          <w:szCs w:val="28"/>
          <w:rtl/>
          <w:lang w:bidi="fa-IR"/>
        </w:rPr>
        <w:t>و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آقای خویی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این را </w:t>
      </w:r>
      <w:r w:rsidR="00CE1E8D" w:rsidRPr="00C06809">
        <w:rPr>
          <w:rFonts w:ascii="IRBadr" w:hAnsi="IRBadr" w:cs="IRBadr"/>
          <w:sz w:val="28"/>
          <w:szCs w:val="28"/>
          <w:rtl/>
          <w:lang w:bidi="fa-IR"/>
        </w:rPr>
        <w:t xml:space="preserve">واضح‌تر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بیان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E1E8D" w:rsidRPr="00C06809" w:rsidRDefault="00CE1E8D" w:rsidP="001755AB">
      <w:pPr>
        <w:pStyle w:val="Heading2"/>
        <w:rPr>
          <w:rFonts w:ascii="IRBadr" w:hAnsi="IRBadr" w:cs="IRBadr"/>
          <w:rtl/>
        </w:rPr>
      </w:pPr>
      <w:bookmarkStart w:id="12" w:name="_Toc427624669"/>
      <w:r w:rsidRPr="00C06809">
        <w:rPr>
          <w:rFonts w:ascii="IRBadr" w:hAnsi="IRBadr" w:cs="IRBadr"/>
          <w:rtl/>
        </w:rPr>
        <w:t>اتخاذ مبنا</w:t>
      </w:r>
      <w:bookmarkEnd w:id="12"/>
    </w:p>
    <w:p w:rsidR="00CE1E8D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القای خصوصیت با این دایره وسیع که گفته شد</w:t>
      </w:r>
      <w:r w:rsidR="00CE1E8D" w:rsidRPr="00C06809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نمی‌توانیم بپذیریم.</w:t>
      </w:r>
    </w:p>
    <w:p w:rsidR="00CE1E8D" w:rsidRPr="00C06809" w:rsidRDefault="00F837FF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نظریه سوم این است که القای خصوصیت می‌شود، نه به این شمول و وسعتی که در نظریه دوم بود. </w:t>
      </w:r>
      <w:r w:rsidR="00CE1E8D" w:rsidRPr="00C06809">
        <w:rPr>
          <w:rFonts w:ascii="IRBadr" w:hAnsi="IRBadr" w:cs="IRBadr"/>
          <w:sz w:val="28"/>
          <w:szCs w:val="28"/>
          <w:rtl/>
          <w:lang w:bidi="fa-IR"/>
        </w:rPr>
        <w:t>بلکه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القای خصوصیت می‌شود به موارد مناسب نه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به‌کل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 موارد.</w:t>
      </w:r>
    </w:p>
    <w:p w:rsidR="00270BFA" w:rsidRPr="00C06809" w:rsidRDefault="00F76177" w:rsidP="001755AB">
      <w:pPr>
        <w:pStyle w:val="Heading2"/>
        <w:rPr>
          <w:rFonts w:ascii="IRBadr" w:hAnsi="IRBadr" w:cs="IRBadr"/>
          <w:rtl/>
        </w:rPr>
      </w:pPr>
      <w:bookmarkStart w:id="13" w:name="_Toc427624670"/>
      <w:r w:rsidRPr="00C06809">
        <w:rPr>
          <w:rFonts w:ascii="IRBadr" w:hAnsi="IRBadr" w:cs="IRBadr"/>
          <w:rtl/>
        </w:rPr>
        <w:t>نتیجه‌گیری</w:t>
      </w:r>
      <w:bookmarkEnd w:id="13"/>
    </w:p>
    <w:p w:rsidR="00270BFA" w:rsidRPr="00C06809" w:rsidRDefault="00CE1E8D" w:rsidP="001755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06809">
        <w:rPr>
          <w:rFonts w:ascii="IRBadr" w:hAnsi="IRBadr" w:cs="IRBadr"/>
          <w:sz w:val="28"/>
          <w:szCs w:val="28"/>
          <w:rtl/>
          <w:lang w:bidi="fa-IR"/>
        </w:rPr>
        <w:t>بعید نیست که بگوییم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و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مادون هشتاد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را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به موارد مناسب خودش تعمیم می‌دهیم. نه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اینکه به 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همه موارد تعزیر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>سرایت پیدا کند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C06809">
        <w:rPr>
          <w:rFonts w:ascii="IRBadr" w:hAnsi="IRBadr" w:cs="IRBadr"/>
          <w:sz w:val="28"/>
          <w:szCs w:val="28"/>
          <w:rtl/>
          <w:lang w:bidi="fa-IR"/>
        </w:rPr>
        <w:t xml:space="preserve">اگر این نظریه را بپذیریم،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باید بگوییم که مبنا همان چهل</w:t>
      </w:r>
      <w:r w:rsidR="00270BFA" w:rsidRPr="00C06809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76177" w:rsidRPr="00C06809">
        <w:rPr>
          <w:rFonts w:ascii="IRBadr" w:hAnsi="IRBadr" w:cs="IRBadr"/>
          <w:sz w:val="28"/>
          <w:szCs w:val="28"/>
          <w:rtl/>
          <w:lang w:bidi="fa-IR"/>
        </w:rPr>
        <w:t>مایکی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از این سه نظر را باید بپذیریم. بقیه انظار </w:t>
      </w:r>
      <w:r w:rsidR="00270BFA" w:rsidRPr="00C06809">
        <w:rPr>
          <w:rFonts w:ascii="IRBadr" w:hAnsi="IRBadr" w:cs="IRBadr"/>
          <w:sz w:val="28"/>
          <w:szCs w:val="28"/>
          <w:rtl/>
          <w:lang w:bidi="fa-IR"/>
        </w:rPr>
        <w:t>چندان</w:t>
      </w:r>
      <w:r w:rsidR="00F837FF" w:rsidRPr="00C06809">
        <w:rPr>
          <w:rFonts w:ascii="IRBadr" w:hAnsi="IRBadr" w:cs="IRBadr"/>
          <w:sz w:val="28"/>
          <w:szCs w:val="28"/>
          <w:rtl/>
          <w:lang w:bidi="fa-IR"/>
        </w:rPr>
        <w:t xml:space="preserve"> وجهی ندارد. اقوی هم همان نظریه اول است که نظر آقای خویی و ظاهر حضرت امام است.</w:t>
      </w:r>
    </w:p>
    <w:p w:rsidR="00152670" w:rsidRPr="00C06809" w:rsidRDefault="00152670" w:rsidP="001755AB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C06809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662" w:rsidRDefault="008E3662" w:rsidP="000D5800">
      <w:pPr>
        <w:spacing w:after="0" w:line="240" w:lineRule="auto"/>
      </w:pPr>
      <w:r>
        <w:separator/>
      </w:r>
    </w:p>
  </w:endnote>
  <w:endnote w:type="continuationSeparator" w:id="0">
    <w:p w:rsidR="008E3662" w:rsidRDefault="008E3662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177" w:rsidRDefault="00F761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90374858"/>
      <w:docPartObj>
        <w:docPartGallery w:val="Page Numbers (Bottom of Page)"/>
        <w:docPartUnique/>
      </w:docPartObj>
    </w:sdtPr>
    <w:sdtEndPr/>
    <w:sdtContent>
      <w:p w:rsidR="001755AB" w:rsidRDefault="001755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809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F76177" w:rsidRDefault="00F761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177" w:rsidRDefault="00F761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662" w:rsidRDefault="008E3662" w:rsidP="001755AB">
      <w:pPr>
        <w:bidi/>
        <w:spacing w:after="0" w:line="240" w:lineRule="auto"/>
      </w:pPr>
      <w:r>
        <w:separator/>
      </w:r>
    </w:p>
  </w:footnote>
  <w:footnote w:type="continuationSeparator" w:id="0">
    <w:p w:rsidR="008E3662" w:rsidRDefault="008E3662" w:rsidP="000D5800">
      <w:pPr>
        <w:spacing w:after="0" w:line="240" w:lineRule="auto"/>
      </w:pPr>
      <w:r>
        <w:continuationSeparator/>
      </w:r>
    </w:p>
  </w:footnote>
  <w:footnote w:id="1">
    <w:p w:rsidR="00873E0E" w:rsidRDefault="00873E0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73E0E">
        <w:rPr>
          <w:rFonts w:ascii="Noor_Titr" w:hAnsi="Noor_Titr" w:cs="B Badr" w:hint="cs"/>
          <w:color w:val="000000" w:themeColor="text1"/>
          <w:rtl/>
        </w:rPr>
        <w:t>ال</w:t>
      </w:r>
      <w:r w:rsidR="00F76177">
        <w:rPr>
          <w:rFonts w:ascii="Noor_Titr" w:hAnsi="Noor_Titr" w:cs="B Badr" w:hint="cs"/>
          <w:color w:val="000000" w:themeColor="text1"/>
          <w:rtl/>
        </w:rPr>
        <w:t>ک</w:t>
      </w:r>
      <w:r w:rsidRPr="00873E0E">
        <w:rPr>
          <w:rFonts w:ascii="Noor_Titr" w:hAnsi="Noor_Titr" w:cs="B Badr" w:hint="cs"/>
          <w:color w:val="000000" w:themeColor="text1"/>
          <w:rtl/>
        </w:rPr>
        <w:t>اف</w:t>
      </w:r>
      <w:r w:rsidR="00F76177">
        <w:rPr>
          <w:rFonts w:ascii="Noor_Titr" w:hAnsi="Noor_Titr" w:cs="B Badr" w:hint="cs"/>
          <w:color w:val="000000" w:themeColor="text1"/>
          <w:rtl/>
        </w:rPr>
        <w:t>ی</w:t>
      </w:r>
      <w:r w:rsidRPr="00873E0E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F76177">
        <w:rPr>
          <w:rFonts w:ascii="Noor_Titr" w:hAnsi="Noor_Titr" w:cs="B Badr" w:hint="cs"/>
          <w:color w:val="000000" w:themeColor="text1"/>
          <w:rtl/>
        </w:rPr>
        <w:t>ی</w:t>
      </w:r>
      <w:r w:rsidRPr="00873E0E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F76177">
        <w:rPr>
          <w:rFonts w:ascii="Noor_Titr" w:hAnsi="Noor_Titr" w:cs="B Badr"/>
          <w:color w:val="000000" w:themeColor="text1"/>
          <w:rtl/>
        </w:rPr>
        <w:t>ج 7</w:t>
      </w:r>
      <w:r w:rsidRPr="00873E0E">
        <w:rPr>
          <w:rFonts w:ascii="Noor_Titr" w:hAnsi="Noor_Titr" w:cs="B Badr" w:hint="cs"/>
          <w:color w:val="000000" w:themeColor="text1"/>
          <w:rtl/>
        </w:rPr>
        <w:t>، ص: 181</w:t>
      </w:r>
    </w:p>
  </w:footnote>
  <w:footnote w:id="2">
    <w:p w:rsidR="00873E0E" w:rsidRDefault="00873E0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73E0E">
        <w:rPr>
          <w:rFonts w:ascii="Noor_Titr" w:hAnsi="Noor_Titr" w:cs="B Badr" w:hint="cs"/>
          <w:color w:val="000000" w:themeColor="text1"/>
          <w:rtl/>
        </w:rPr>
        <w:t>ال</w:t>
      </w:r>
      <w:r w:rsidR="00F76177">
        <w:rPr>
          <w:rFonts w:ascii="Noor_Titr" w:hAnsi="Noor_Titr" w:cs="B Badr" w:hint="cs"/>
          <w:color w:val="000000" w:themeColor="text1"/>
          <w:rtl/>
        </w:rPr>
        <w:t>ک</w:t>
      </w:r>
      <w:r w:rsidRPr="00873E0E">
        <w:rPr>
          <w:rFonts w:ascii="Noor_Titr" w:hAnsi="Noor_Titr" w:cs="B Badr" w:hint="cs"/>
          <w:color w:val="000000" w:themeColor="text1"/>
          <w:rtl/>
        </w:rPr>
        <w:t>اف</w:t>
      </w:r>
      <w:r w:rsidR="00F76177">
        <w:rPr>
          <w:rFonts w:ascii="Noor_Titr" w:hAnsi="Noor_Titr" w:cs="B Badr" w:hint="cs"/>
          <w:color w:val="000000" w:themeColor="text1"/>
          <w:rtl/>
        </w:rPr>
        <w:t>ی</w:t>
      </w:r>
      <w:r w:rsidRPr="00873E0E">
        <w:rPr>
          <w:rFonts w:ascii="Noor_Titr" w:hAnsi="Noor_Titr" w:cs="B Badr" w:hint="cs"/>
          <w:color w:val="000000" w:themeColor="text1"/>
          <w:rtl/>
        </w:rPr>
        <w:t xml:space="preserve"> </w:t>
      </w:r>
      <w:r w:rsidRPr="00873E0E">
        <w:rPr>
          <w:rFonts w:ascii="Noor_Titr" w:hAnsi="Noor_Titr" w:cs="B Badr" w:hint="cs"/>
          <w:color w:val="000000" w:themeColor="text1"/>
          <w:rtl/>
        </w:rPr>
        <w:t>(ط - الإسلام</w:t>
      </w:r>
      <w:r w:rsidR="00F76177">
        <w:rPr>
          <w:rFonts w:ascii="Noor_Titr" w:hAnsi="Noor_Titr" w:cs="B Badr" w:hint="cs"/>
          <w:color w:val="000000" w:themeColor="text1"/>
          <w:rtl/>
        </w:rPr>
        <w:t>ی</w:t>
      </w:r>
      <w:r w:rsidRPr="00873E0E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F76177">
        <w:rPr>
          <w:rFonts w:ascii="Noor_Titr" w:hAnsi="Noor_Titr" w:cs="B Badr"/>
          <w:color w:val="000000" w:themeColor="text1"/>
          <w:rtl/>
        </w:rPr>
        <w:t>ج 7</w:t>
      </w:r>
      <w:r w:rsidRPr="00873E0E">
        <w:rPr>
          <w:rFonts w:ascii="Noor_Titr" w:hAnsi="Noor_Titr" w:cs="B Badr" w:hint="cs"/>
          <w:color w:val="000000" w:themeColor="text1"/>
          <w:rtl/>
        </w:rPr>
        <w:t>، ص: 181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177" w:rsidRDefault="00F761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BF" w:rsidRPr="00D723BF" w:rsidRDefault="000D5800" w:rsidP="00F837FF">
    <w:pPr>
      <w:tabs>
        <w:tab w:val="left" w:pos="1256"/>
        <w:tab w:val="left" w:pos="5696"/>
        <w:tab w:val="right" w:pos="9071"/>
      </w:tabs>
      <w:bidi/>
      <w:rPr>
        <w:rFonts w:ascii="IranNastaliq" w:hAnsi="IranNastaliq" w:cs="IranNastaliq"/>
        <w:sz w:val="40"/>
        <w:szCs w:val="40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3C653C77" wp14:editId="12CD724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A2D811E" id="Straight Connector 2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6EA6E257" wp14:editId="134612C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B11271">
      <w:rPr>
        <w:rFonts w:ascii="IranNastaliq" w:hAnsi="IranNastaliq" w:cs="IranNastaliq"/>
        <w:sz w:val="40"/>
        <w:szCs w:val="40"/>
        <w:rtl/>
      </w:rPr>
      <w:t xml:space="preserve"> </w:t>
    </w:r>
    <w:r w:rsidR="00D91675">
      <w:rPr>
        <w:rFonts w:ascii="IranNastaliq" w:hAnsi="IranNastaliq" w:cs="IranNastaliq"/>
        <w:sz w:val="40"/>
        <w:szCs w:val="40"/>
        <w:rtl/>
      </w:rPr>
      <w:t>شماره ثبت</w:t>
    </w:r>
    <w:r w:rsidR="00D91675">
      <w:rPr>
        <w:rFonts w:ascii="IranNastaliq" w:hAnsi="IranNastaliq" w:cs="IranNastaliq" w:hint="cs"/>
        <w:sz w:val="40"/>
        <w:szCs w:val="40"/>
        <w:rtl/>
      </w:rPr>
      <w:t>:</w:t>
    </w:r>
    <w:r w:rsidR="00F837FF">
      <w:rPr>
        <w:rFonts w:ascii="IranNastaliq" w:hAnsi="IranNastaliq" w:cs="IranNastaliq" w:hint="cs"/>
        <w:sz w:val="40"/>
        <w:szCs w:val="40"/>
        <w:rtl/>
        <w:lang w:bidi="fa-IR"/>
      </w:rPr>
      <w:t>837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177" w:rsidRDefault="00F761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25"/>
    <w:rsid w:val="000148C4"/>
    <w:rsid w:val="000228A2"/>
    <w:rsid w:val="000324F1"/>
    <w:rsid w:val="00041FE0"/>
    <w:rsid w:val="00051A63"/>
    <w:rsid w:val="00052BA3"/>
    <w:rsid w:val="0006363E"/>
    <w:rsid w:val="00080DFF"/>
    <w:rsid w:val="000825BD"/>
    <w:rsid w:val="00085ED5"/>
    <w:rsid w:val="000A1A51"/>
    <w:rsid w:val="000C2C26"/>
    <w:rsid w:val="000C7C2A"/>
    <w:rsid w:val="000D2D0D"/>
    <w:rsid w:val="000D5800"/>
    <w:rsid w:val="000F02FB"/>
    <w:rsid w:val="000F1897"/>
    <w:rsid w:val="000F7E72"/>
    <w:rsid w:val="00101E2D"/>
    <w:rsid w:val="00102CEB"/>
    <w:rsid w:val="00117955"/>
    <w:rsid w:val="00125087"/>
    <w:rsid w:val="0012603F"/>
    <w:rsid w:val="00133E1D"/>
    <w:rsid w:val="0013617D"/>
    <w:rsid w:val="00136442"/>
    <w:rsid w:val="00150D4B"/>
    <w:rsid w:val="00152670"/>
    <w:rsid w:val="00166DD8"/>
    <w:rsid w:val="001712D6"/>
    <w:rsid w:val="001755AB"/>
    <w:rsid w:val="001757C8"/>
    <w:rsid w:val="00177934"/>
    <w:rsid w:val="00192A6A"/>
    <w:rsid w:val="00197CDD"/>
    <w:rsid w:val="001C0CFC"/>
    <w:rsid w:val="001C367D"/>
    <w:rsid w:val="001D24F8"/>
    <w:rsid w:val="001D542D"/>
    <w:rsid w:val="001E306E"/>
    <w:rsid w:val="001E3FB0"/>
    <w:rsid w:val="001E46B6"/>
    <w:rsid w:val="001E4FFF"/>
    <w:rsid w:val="001F2E3E"/>
    <w:rsid w:val="00224C0A"/>
    <w:rsid w:val="00226106"/>
    <w:rsid w:val="002376A5"/>
    <w:rsid w:val="002417C9"/>
    <w:rsid w:val="002529C5"/>
    <w:rsid w:val="00270294"/>
    <w:rsid w:val="00270BFA"/>
    <w:rsid w:val="0028497A"/>
    <w:rsid w:val="002914BD"/>
    <w:rsid w:val="00297263"/>
    <w:rsid w:val="002A3A69"/>
    <w:rsid w:val="002C56FD"/>
    <w:rsid w:val="002D49E4"/>
    <w:rsid w:val="002E450B"/>
    <w:rsid w:val="002E73F9"/>
    <w:rsid w:val="002F05B9"/>
    <w:rsid w:val="002F15AC"/>
    <w:rsid w:val="0030485B"/>
    <w:rsid w:val="00340BA3"/>
    <w:rsid w:val="0034165B"/>
    <w:rsid w:val="00361E5A"/>
    <w:rsid w:val="00366400"/>
    <w:rsid w:val="003840A1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57A0"/>
    <w:rsid w:val="00405199"/>
    <w:rsid w:val="00410699"/>
    <w:rsid w:val="00415360"/>
    <w:rsid w:val="0044591E"/>
    <w:rsid w:val="00445BEB"/>
    <w:rsid w:val="00455CBC"/>
    <w:rsid w:val="004651D2"/>
    <w:rsid w:val="00465D26"/>
    <w:rsid w:val="004679F8"/>
    <w:rsid w:val="004B337F"/>
    <w:rsid w:val="004F3596"/>
    <w:rsid w:val="00515883"/>
    <w:rsid w:val="00554A97"/>
    <w:rsid w:val="00572E2D"/>
    <w:rsid w:val="00574D76"/>
    <w:rsid w:val="00592103"/>
    <w:rsid w:val="005941DD"/>
    <w:rsid w:val="005A545E"/>
    <w:rsid w:val="005A5862"/>
    <w:rsid w:val="005B0852"/>
    <w:rsid w:val="005B45BC"/>
    <w:rsid w:val="005C06AE"/>
    <w:rsid w:val="005C1BC1"/>
    <w:rsid w:val="005C392B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0F70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E0E"/>
    <w:rsid w:val="00883725"/>
    <w:rsid w:val="00883733"/>
    <w:rsid w:val="008965D2"/>
    <w:rsid w:val="008A236D"/>
    <w:rsid w:val="008B2A49"/>
    <w:rsid w:val="008B565A"/>
    <w:rsid w:val="008C1B2A"/>
    <w:rsid w:val="008C3414"/>
    <w:rsid w:val="008D36D5"/>
    <w:rsid w:val="008E3662"/>
    <w:rsid w:val="008E3903"/>
    <w:rsid w:val="008F63E3"/>
    <w:rsid w:val="008F6BF5"/>
    <w:rsid w:val="00901C3D"/>
    <w:rsid w:val="00913C3B"/>
    <w:rsid w:val="00915509"/>
    <w:rsid w:val="00925897"/>
    <w:rsid w:val="00927388"/>
    <w:rsid w:val="009274FE"/>
    <w:rsid w:val="009401AC"/>
    <w:rsid w:val="009613AC"/>
    <w:rsid w:val="00980643"/>
    <w:rsid w:val="00985E90"/>
    <w:rsid w:val="00987F25"/>
    <w:rsid w:val="009B46BC"/>
    <w:rsid w:val="009B61C3"/>
    <w:rsid w:val="009C7B4F"/>
    <w:rsid w:val="009F4EB3"/>
    <w:rsid w:val="009F739F"/>
    <w:rsid w:val="00A06D48"/>
    <w:rsid w:val="00A11582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AF14DC"/>
    <w:rsid w:val="00B11271"/>
    <w:rsid w:val="00B15027"/>
    <w:rsid w:val="00B21CF4"/>
    <w:rsid w:val="00B24300"/>
    <w:rsid w:val="00B63F15"/>
    <w:rsid w:val="00B84BE5"/>
    <w:rsid w:val="00BB5F7E"/>
    <w:rsid w:val="00BC26F6"/>
    <w:rsid w:val="00BC4833"/>
    <w:rsid w:val="00BD3122"/>
    <w:rsid w:val="00BD40DA"/>
    <w:rsid w:val="00BF3D67"/>
    <w:rsid w:val="00C06809"/>
    <w:rsid w:val="00C160AF"/>
    <w:rsid w:val="00C22299"/>
    <w:rsid w:val="00C25609"/>
    <w:rsid w:val="00C262D7"/>
    <w:rsid w:val="00C26607"/>
    <w:rsid w:val="00C46244"/>
    <w:rsid w:val="00C60D75"/>
    <w:rsid w:val="00C64CEA"/>
    <w:rsid w:val="00C73012"/>
    <w:rsid w:val="00C763DD"/>
    <w:rsid w:val="00C84FC0"/>
    <w:rsid w:val="00C9244A"/>
    <w:rsid w:val="00CB5DA3"/>
    <w:rsid w:val="00CE0815"/>
    <w:rsid w:val="00CE1E8D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23BF"/>
    <w:rsid w:val="00D76353"/>
    <w:rsid w:val="00D91675"/>
    <w:rsid w:val="00D95014"/>
    <w:rsid w:val="00DA3BE7"/>
    <w:rsid w:val="00DB28BB"/>
    <w:rsid w:val="00DC603F"/>
    <w:rsid w:val="00DD3C0D"/>
    <w:rsid w:val="00DD4864"/>
    <w:rsid w:val="00DD71A2"/>
    <w:rsid w:val="00DE1DC4"/>
    <w:rsid w:val="00DF61AA"/>
    <w:rsid w:val="00E00A54"/>
    <w:rsid w:val="00E0639C"/>
    <w:rsid w:val="00E067E6"/>
    <w:rsid w:val="00E12531"/>
    <w:rsid w:val="00E143B0"/>
    <w:rsid w:val="00E47549"/>
    <w:rsid w:val="00E55891"/>
    <w:rsid w:val="00E6283A"/>
    <w:rsid w:val="00E732A3"/>
    <w:rsid w:val="00E83A85"/>
    <w:rsid w:val="00E90FC4"/>
    <w:rsid w:val="00EA01EC"/>
    <w:rsid w:val="00EA15B0"/>
    <w:rsid w:val="00EA42F5"/>
    <w:rsid w:val="00EA5D97"/>
    <w:rsid w:val="00EC4393"/>
    <w:rsid w:val="00EE1C07"/>
    <w:rsid w:val="00EE2C91"/>
    <w:rsid w:val="00EE3979"/>
    <w:rsid w:val="00EF138C"/>
    <w:rsid w:val="00F034CE"/>
    <w:rsid w:val="00F10A0F"/>
    <w:rsid w:val="00F13066"/>
    <w:rsid w:val="00F247BD"/>
    <w:rsid w:val="00F40284"/>
    <w:rsid w:val="00F66089"/>
    <w:rsid w:val="00F67976"/>
    <w:rsid w:val="00F70BE1"/>
    <w:rsid w:val="00F76177"/>
    <w:rsid w:val="00F837FF"/>
    <w:rsid w:val="00F97859"/>
    <w:rsid w:val="00FC0862"/>
    <w:rsid w:val="00FC20D5"/>
    <w:rsid w:val="00FC70FB"/>
    <w:rsid w:val="00FD143D"/>
    <w:rsid w:val="00FD64E5"/>
    <w:rsid w:val="00FD70AF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755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755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68F3A-BBA3-4962-BE40-0C4625F7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581</TotalTime>
  <Pages>5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52</cp:revision>
  <dcterms:created xsi:type="dcterms:W3CDTF">2014-12-22T04:07:00Z</dcterms:created>
  <dcterms:modified xsi:type="dcterms:W3CDTF">2015-08-08T05:05:00Z</dcterms:modified>
</cp:coreProperties>
</file>